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D89C" w14:textId="77777777" w:rsidR="0079754F" w:rsidRPr="0079754F" w:rsidRDefault="0079754F" w:rsidP="00005156">
      <w:pPr>
        <w:jc w:val="both"/>
        <w:rPr>
          <w:rStyle w:val="normaltextrun"/>
          <w:rFonts w:ascii="Proxima Nova" w:eastAsia="Times New Roman" w:hAnsi="Proxima Nova" w:cs="Calibri"/>
          <w:b/>
          <w:bCs/>
          <w:sz w:val="24"/>
          <w:szCs w:val="24"/>
          <w:lang w:val="sk-SK" w:eastAsia="en-GB"/>
        </w:rPr>
      </w:pPr>
    </w:p>
    <w:p w14:paraId="1EC99046" w14:textId="3855B4A0" w:rsidR="008A6CA1" w:rsidRPr="0079754F" w:rsidRDefault="0079754F" w:rsidP="00005156">
      <w:pPr>
        <w:jc w:val="center"/>
        <w:rPr>
          <w:rStyle w:val="normaltextrun"/>
          <w:rFonts w:ascii="Proxima Nova" w:eastAsia="Times New Roman" w:hAnsi="Proxima Nova" w:cs="Calibri"/>
          <w:b/>
          <w:bCs/>
          <w:sz w:val="24"/>
          <w:szCs w:val="24"/>
          <w:lang w:val="sk-SK" w:eastAsia="en-GB"/>
        </w:rPr>
      </w:pPr>
      <w:r w:rsidRPr="0079754F">
        <w:rPr>
          <w:rStyle w:val="normaltextrun"/>
          <w:rFonts w:ascii="Proxima Nova" w:eastAsia="Times New Roman" w:hAnsi="Proxima Nova" w:cs="Calibri"/>
          <w:b/>
          <w:bCs/>
          <w:sz w:val="24"/>
          <w:szCs w:val="24"/>
          <w:lang w:val="sk-SK" w:eastAsia="en-GB"/>
        </w:rPr>
        <w:t>Nový prieskum GLOBSEC</w:t>
      </w:r>
      <w:r w:rsidR="004254DF">
        <w:rPr>
          <w:rStyle w:val="normaltextrun"/>
          <w:rFonts w:ascii="Proxima Nova" w:eastAsia="Times New Roman" w:hAnsi="Proxima Nova" w:cs="Calibri"/>
          <w:b/>
          <w:bCs/>
          <w:sz w:val="24"/>
          <w:szCs w:val="24"/>
          <w:lang w:val="sk-SK" w:eastAsia="en-GB"/>
        </w:rPr>
        <w:t>-</w:t>
      </w:r>
      <w:r w:rsidRPr="0079754F">
        <w:rPr>
          <w:rStyle w:val="normaltextrun"/>
          <w:rFonts w:ascii="Proxima Nova" w:eastAsia="Times New Roman" w:hAnsi="Proxima Nova" w:cs="Calibri"/>
          <w:b/>
          <w:bCs/>
          <w:sz w:val="24"/>
          <w:szCs w:val="24"/>
          <w:lang w:val="sk-SK" w:eastAsia="en-GB"/>
        </w:rPr>
        <w:t xml:space="preserve">u: Slovensko zaznamenalo výrazný prepad </w:t>
      </w:r>
      <w:r w:rsidR="006278C4">
        <w:rPr>
          <w:rStyle w:val="normaltextrun"/>
          <w:rFonts w:ascii="Proxima Nova" w:eastAsia="Times New Roman" w:hAnsi="Proxima Nova" w:cs="Calibri"/>
          <w:b/>
          <w:bCs/>
          <w:sz w:val="24"/>
          <w:szCs w:val="24"/>
          <w:lang w:val="sk-SK" w:eastAsia="en-GB"/>
        </w:rPr>
        <w:t xml:space="preserve">                </w:t>
      </w:r>
      <w:r w:rsidRPr="0079754F">
        <w:rPr>
          <w:rStyle w:val="normaltextrun"/>
          <w:rFonts w:ascii="Proxima Nova" w:eastAsia="Times New Roman" w:hAnsi="Proxima Nova" w:cs="Calibri"/>
          <w:b/>
          <w:bCs/>
          <w:sz w:val="24"/>
          <w:szCs w:val="24"/>
          <w:lang w:val="sk-SK" w:eastAsia="en-GB"/>
        </w:rPr>
        <w:t>v prozápadných postojoch</w:t>
      </w:r>
    </w:p>
    <w:p w14:paraId="4F1D3827" w14:textId="77777777" w:rsidR="008A6CA1" w:rsidRPr="0079754F" w:rsidRDefault="008A6CA1" w:rsidP="00005156">
      <w:pPr>
        <w:jc w:val="both"/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</w:pPr>
    </w:p>
    <w:p w14:paraId="2E7BACB0" w14:textId="3D47768C" w:rsidR="008A6CA1" w:rsidRPr="0079754F" w:rsidRDefault="008A6CA1" w:rsidP="00005156">
      <w:pPr>
        <w:jc w:val="both"/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</w:pP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Bratislava, 26. mája 2023 </w:t>
      </w:r>
      <w:r w:rsidR="006278C4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–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 GLOBSEC </w:t>
      </w:r>
      <w:proofErr w:type="spellStart"/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Trends</w:t>
      </w:r>
      <w:proofErr w:type="spellEnd"/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 2023; </w:t>
      </w:r>
      <w:r w:rsidR="0079754F"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N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ajnovší prieskum verejnej mienky, ktorý GLOBSEC uskutočnil v ôsmich krajinách strednej a východnej Európy (Bulharsko, Česko, Maďarsko, Lotyšsko, Litva, Poľsko, Rumunsko a Slovensko), skúma </w:t>
      </w:r>
      <w:r w:rsidR="00B40549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postoje regiónu </w:t>
      </w:r>
      <w:r w:rsidR="00320CF0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ku 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kľúčov</w:t>
      </w:r>
      <w:r w:rsidR="00320CF0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ým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 </w:t>
      </w:r>
      <w:proofErr w:type="spellStart"/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naratív</w:t>
      </w:r>
      <w:r w:rsidR="00320CF0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om</w:t>
      </w:r>
      <w:proofErr w:type="spellEnd"/>
      <w:r w:rsidR="00320CF0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 </w:t>
      </w:r>
      <w:r w:rsidR="006278C4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–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 pravdiv</w:t>
      </w:r>
      <w:r w:rsidR="00CD58CA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ým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 aj manipulatívn</w:t>
      </w:r>
      <w:r w:rsidR="006278C4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y</w:t>
      </w:r>
      <w:r w:rsidR="00CD58CA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m </w:t>
      </w:r>
      <w:r w:rsidR="005E2354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–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 </w:t>
      </w:r>
      <w:r w:rsidR="005E2354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o 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vojn</w:t>
      </w:r>
      <w:r w:rsidR="005E2354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e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 na Ukrajine, NATO, EÚ, demokraci</w:t>
      </w:r>
      <w:r w:rsidR="005E2354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i 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a verejn</w:t>
      </w:r>
      <w:r w:rsidR="005E2354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om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 zdrav</w:t>
      </w:r>
      <w:r w:rsidR="005E2354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í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. </w:t>
      </w:r>
    </w:p>
    <w:p w14:paraId="67533A60" w14:textId="3632281C" w:rsidR="008A6CA1" w:rsidRPr="0079754F" w:rsidRDefault="00F515A2" w:rsidP="00005156">
      <w:pPr>
        <w:jc w:val="both"/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</w:pPr>
      <w:r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Výsledky tento rok podčiarkujú význam </w:t>
      </w:r>
      <w:r w:rsidR="008A6CA1"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vnútornej politiky, hist</w:t>
      </w:r>
      <w:r w:rsidR="005E2354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órie </w:t>
      </w:r>
      <w:r w:rsidR="008A6CA1"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a</w:t>
      </w:r>
      <w:r w:rsidR="005E2354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 kultúry </w:t>
      </w:r>
      <w:r w:rsidR="008A6CA1"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na postoje obyvateľstva</w:t>
      </w:r>
      <w:r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. </w:t>
      </w:r>
      <w:r w:rsidR="008A6CA1"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"</w:t>
      </w:r>
      <w:r w:rsidR="008A6CA1" w:rsidRPr="00005156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Zatiaľ čo</w:t>
      </w:r>
      <w:r w:rsidR="001F1181" w:rsidRPr="00005156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 v roku 2022</w:t>
      </w:r>
      <w:r w:rsidR="008A6CA1" w:rsidRPr="00005156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 </w:t>
      </w:r>
      <w:r w:rsidR="003B05A7" w:rsidRPr="00005156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mala vojna </w:t>
      </w:r>
      <w:r w:rsidR="008A6CA1" w:rsidRPr="00005156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na Ukrajine na verejnú mienku </w:t>
      </w:r>
      <w:r w:rsidR="003B05A7" w:rsidRPr="00005156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značný vplyv, </w:t>
      </w:r>
      <w:r w:rsidR="008A6CA1" w:rsidRPr="00005156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v tomto roku výsledky prieskumu </w:t>
      </w:r>
      <w:r w:rsidR="003B05A7" w:rsidRPr="00005156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skôr </w:t>
      </w:r>
      <w:r w:rsidR="008A6CA1" w:rsidRPr="00005156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ukazujú prehĺbenie rozdielov medzi viac a menej odolnými krajinami</w:t>
      </w:r>
      <w:r w:rsidR="00CD1B2D" w:rsidRPr="00005156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. A najmenej odolnými </w:t>
      </w:r>
      <w:r w:rsidR="00713439" w:rsidRPr="00005156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voči manipulatívnym a pro-ruským naratívom </w:t>
      </w:r>
      <w:r w:rsidR="00CD1B2D" w:rsidRPr="00005156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sa ukazujú Bulharsko</w:t>
      </w:r>
      <w:r w:rsidR="008A6CA1" w:rsidRPr="00005156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,</w:t>
      </w:r>
      <w:r w:rsidR="00CD1B2D" w:rsidRPr="00005156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 Maďarsko a Slovensko</w:t>
      </w:r>
      <w:r w:rsidR="00CD1B2D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.</w:t>
      </w:r>
      <w:r w:rsidR="008A6CA1"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" uviedla riaditeľka Centra pre demokraciu a odolnosť GLOBSEC</w:t>
      </w:r>
      <w:r w:rsidR="001F1181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u</w:t>
      </w:r>
      <w:r w:rsidR="008A6CA1"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 Dominika Hajdu. </w:t>
      </w:r>
    </w:p>
    <w:p w14:paraId="3F95FD1B" w14:textId="4B1D4645" w:rsidR="00A20BF7" w:rsidRPr="00005156" w:rsidRDefault="008A6CA1" w:rsidP="00005156">
      <w:pPr>
        <w:jc w:val="both"/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</w:pP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"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Maďari sa v niektorých otázkach postupne pozerajú viac na východ v dôsledku dôslednej protizápadnej rétoriky vlády </w:t>
      </w:r>
      <w:r w:rsidR="006278C4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–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 ale paralelne si zachovávajú silnú vieru v členstvo krajiny v EÚ a</w:t>
      </w:r>
      <w:r w:rsidR="00713439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 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NATO</w:t>
      </w:r>
      <w:r w:rsidR="00713439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. P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ohľad Bulharska je </w:t>
      </w:r>
      <w:r w:rsidR="00713439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silne 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ovplyvnený historickými väzbami na Rusko, a to tak z ekonomického, ako aj kultúrneho hľadiska</w:t>
      </w:r>
      <w:r w:rsidR="00713439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.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 </w:t>
      </w:r>
      <w:r w:rsidR="00713439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Z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mena postojov </w:t>
      </w:r>
      <w:r w:rsidR="00713439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na 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Slovensk</w:t>
      </w:r>
      <w:r w:rsidR="00713439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u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 medzi rokmi 2022 a 2023 </w:t>
      </w:r>
      <w:r w:rsidR="00713439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je však 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pomerne prekvapivá. Podpora členstva v NATO klesla zo 72 % na 58 %, väčšina </w:t>
      </w:r>
      <w:r w:rsidR="00713439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ľudí 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už nepripisuje hlavnú zodpovednosť za vojnu na Ukrajine Rusku a 50 % považuje USA za bezpečnostnú hrozbu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," dodala Jana </w:t>
      </w:r>
      <w:proofErr w:type="spellStart"/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Kazaz</w:t>
      </w:r>
      <w:proofErr w:type="spellEnd"/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, </w:t>
      </w:r>
      <w:r w:rsidR="00713439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analytička C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entra.</w:t>
      </w:r>
    </w:p>
    <w:p w14:paraId="5E2BA167" w14:textId="59274AB8" w:rsidR="008A6CA1" w:rsidRDefault="008A6CA1" w:rsidP="00005156">
      <w:pPr>
        <w:jc w:val="both"/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</w:pP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Priemerná podpora členstva v NATO </w:t>
      </w:r>
      <w:r w:rsidR="00713439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v regióne 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je 79 %, ale údaje sa v jednotlivých krajinách výrazne líšia</w:t>
      </w:r>
      <w:r w:rsidR="00713439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. Na 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jednej strane členstvo podporuje 94 % Poliakov a na druhej strane 58</w:t>
      </w:r>
      <w:r w:rsidR="00713439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 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% Slovákov a Bulharov. Podobne v priemere 74 % respondentov uznáva, že vojenská podpora Ukrajine </w:t>
      </w:r>
      <w:r w:rsidR="00713439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jej </w:t>
      </w:r>
      <w:r w:rsidR="00713439"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pomáha 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brániť sa proti Rusku, ale na Slovensku a v Bulharsku si viac ľudí myslí, že </w:t>
      </w:r>
      <w:r w:rsidR="00713439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vojenská pomoc 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Ukrajin</w:t>
      </w:r>
      <w:r w:rsidR="00713439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e</w:t>
      </w: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 xml:space="preserve"> provokuje Rusko a približuje ich krajiny k vojne. </w:t>
      </w:r>
    </w:p>
    <w:p w14:paraId="21FBE954" w14:textId="646D4DD2" w:rsidR="006278C4" w:rsidRPr="0079754F" w:rsidRDefault="006278C4" w:rsidP="00005156">
      <w:pPr>
        <w:jc w:val="both"/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</w:pPr>
      <w:r>
        <w:rPr>
          <w:noProof/>
        </w:rPr>
        <w:lastRenderedPageBreak/>
        <w:drawing>
          <wp:inline distT="0" distB="0" distL="0" distR="0" wp14:anchorId="504F534B" wp14:editId="40001882">
            <wp:extent cx="5943600" cy="3213735"/>
            <wp:effectExtent l="0" t="0" r="0" b="5715"/>
            <wp:docPr id="2032647173" name="Chart 2032647173">
              <a:extLst xmlns:a="http://schemas.openxmlformats.org/drawingml/2006/main">
                <a:ext uri="{FF2B5EF4-FFF2-40B4-BE49-F238E27FC236}">
                  <a16:creationId xmlns:a16="http://schemas.microsoft.com/office/drawing/2014/main" id="{D976518B-008F-574D-A615-F4438C15EE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81F839" w14:textId="56F2217A" w:rsidR="00005156" w:rsidRPr="00005156" w:rsidRDefault="008A6CA1" w:rsidP="00005156">
      <w:pPr>
        <w:jc w:val="both"/>
        <w:rPr>
          <w:rFonts w:ascii="Proxima Nova" w:eastAsia="Times New Roman" w:hAnsi="Proxima Nova" w:cs="Calibri"/>
          <w:sz w:val="24"/>
          <w:szCs w:val="24"/>
          <w:lang w:val="sk-SK" w:eastAsia="en-GB"/>
        </w:rPr>
      </w:pPr>
      <w:r w:rsidRPr="0079754F">
        <w:rPr>
          <w:rStyle w:val="normaltextrun"/>
          <w:rFonts w:ascii="Proxima Nova" w:eastAsia="Times New Roman" w:hAnsi="Proxima Nova" w:cs="Calibri"/>
          <w:sz w:val="24"/>
          <w:szCs w:val="24"/>
          <w:lang w:val="sk-SK" w:eastAsia="en-GB"/>
        </w:rPr>
        <w:t>"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Slovensko</w:t>
      </w:r>
      <w:r w:rsidR="0078607E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 </w:t>
      </w:r>
      <w:r w:rsidR="00F51A82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je </w:t>
      </w:r>
      <w:r w:rsidR="000345B2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príkladom toho, </w:t>
      </w:r>
      <w:r w:rsidR="00CB5FA9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čo sa môže stať, keď </w:t>
      </w:r>
      <w:r w:rsidR="00FC65D7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skombinujeme nedôveru v inštitúcie, spoločnosť s náchylnosťou veriť dezinformáciám</w:t>
      </w:r>
      <w:r w:rsidR="00FC65D7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softHyphen/>
      </w:r>
      <w:r w:rsidR="00F51A82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 a silných politických aktéro</w:t>
      </w:r>
      <w:r w:rsidR="00222C9F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v, ktorí vedia využiť </w:t>
      </w:r>
      <w:r w:rsidR="000F10D7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frustrácie a obavy spoločnosti vo svoj prospech. Sme poznačení politickým chaosom a zmätkami spôsobenými vládnucou koalíciou v rokoch 2020 až 2023. Aktuálne máme na Slovensku 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historicky najnižš</w:t>
      </w:r>
      <w:r w:rsidR="00CB5FA9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i</w:t>
      </w:r>
      <w:r w:rsidR="000F10D7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u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 mier</w:t>
      </w:r>
      <w:r w:rsidR="000F10D7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u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 dôvery v</w:t>
      </w:r>
      <w:r w:rsidR="000F10D7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 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inštitúcie</w:t>
      </w:r>
      <w:r w:rsidR="000F10D7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, kedy vláde 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dôveruje len 18 % </w:t>
      </w:r>
      <w:r w:rsidR="000F10D7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respondentov. 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Tento nedostatok dôvery vytvoril živnú pôdu pre </w:t>
      </w:r>
      <w:r w:rsidR="002D4F1B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časť 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opozičn</w:t>
      </w:r>
      <w:r w:rsidR="002D4F1B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ým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 str</w:t>
      </w:r>
      <w:r w:rsidR="002D4F1B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án</w:t>
      </w:r>
      <w:r w:rsidR="00AA62D7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 na </w:t>
      </w:r>
      <w:r w:rsidR="002D4F1B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kampaň 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obviňujúc</w:t>
      </w:r>
      <w:r w:rsidR="002D4F1B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u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 Západ z vojny </w:t>
      </w:r>
      <w:r w:rsidR="002D4F1B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a 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podkopáva</w:t>
      </w:r>
      <w:r w:rsidR="002D4F1B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nie 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podpor</w:t>
      </w:r>
      <w:r w:rsidR="002D4F1B"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y</w:t>
      </w:r>
      <w:r w:rsidRPr="0014641E">
        <w:rPr>
          <w:rStyle w:val="normaltextrun"/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 Ukrajine, ktorá našla odozvu u značnej časti obyvateľstva</w:t>
      </w:r>
      <w:r w:rsidR="0079754F" w:rsidRPr="0079754F">
        <w:rPr>
          <w:rFonts w:ascii="Proxima Nova" w:eastAsia="Times New Roman" w:hAnsi="Proxima Nova" w:cs="Calibri"/>
          <w:sz w:val="24"/>
          <w:szCs w:val="24"/>
          <w:lang w:val="sk-SK" w:eastAsia="en-GB"/>
        </w:rPr>
        <w:t xml:space="preserve">," vysvetlila Katarína </w:t>
      </w:r>
      <w:proofErr w:type="spellStart"/>
      <w:r w:rsidR="0079754F" w:rsidRPr="0079754F">
        <w:rPr>
          <w:rFonts w:ascii="Proxima Nova" w:eastAsia="Times New Roman" w:hAnsi="Proxima Nova" w:cs="Calibri"/>
          <w:sz w:val="24"/>
          <w:szCs w:val="24"/>
          <w:lang w:val="sk-SK" w:eastAsia="en-GB"/>
        </w:rPr>
        <w:t>Klingová</w:t>
      </w:r>
      <w:proofErr w:type="spellEnd"/>
      <w:r w:rsidR="0079754F" w:rsidRPr="0079754F">
        <w:rPr>
          <w:rFonts w:ascii="Proxima Nova" w:eastAsia="Times New Roman" w:hAnsi="Proxima Nova" w:cs="Calibri"/>
          <w:sz w:val="24"/>
          <w:szCs w:val="24"/>
          <w:lang w:val="sk-SK" w:eastAsia="en-GB"/>
        </w:rPr>
        <w:t xml:space="preserve">, </w:t>
      </w:r>
      <w:r w:rsidR="004C688D">
        <w:rPr>
          <w:rFonts w:ascii="Proxima Nova" w:eastAsia="Times New Roman" w:hAnsi="Proxima Nova" w:cs="Calibri"/>
          <w:sz w:val="24"/>
          <w:szCs w:val="24"/>
          <w:lang w:val="sk-SK" w:eastAsia="en-GB"/>
        </w:rPr>
        <w:t xml:space="preserve">senior analytička </w:t>
      </w:r>
      <w:proofErr w:type="spellStart"/>
      <w:r w:rsidR="0079754F" w:rsidRPr="0079754F">
        <w:rPr>
          <w:rFonts w:ascii="Proxima Nova" w:eastAsia="Times New Roman" w:hAnsi="Proxima Nova" w:cs="Calibri"/>
          <w:sz w:val="24"/>
          <w:szCs w:val="24"/>
          <w:lang w:val="sk-SK" w:eastAsia="en-GB"/>
        </w:rPr>
        <w:t>GLOBSEC</w:t>
      </w:r>
      <w:r w:rsidR="004C688D">
        <w:rPr>
          <w:rFonts w:ascii="Proxima Nova" w:eastAsia="Times New Roman" w:hAnsi="Proxima Nova" w:cs="Calibri"/>
          <w:sz w:val="24"/>
          <w:szCs w:val="24"/>
          <w:lang w:val="sk-SK" w:eastAsia="en-GB"/>
        </w:rPr>
        <w:t>u</w:t>
      </w:r>
      <w:proofErr w:type="spellEnd"/>
      <w:r w:rsidR="0079754F" w:rsidRPr="0079754F">
        <w:rPr>
          <w:rFonts w:ascii="Proxima Nova" w:eastAsia="Times New Roman" w:hAnsi="Proxima Nova" w:cs="Calibri"/>
          <w:sz w:val="24"/>
          <w:szCs w:val="24"/>
          <w:lang w:val="sk-SK" w:eastAsia="en-GB"/>
        </w:rPr>
        <w:t xml:space="preserve">. </w:t>
      </w:r>
    </w:p>
    <w:p w14:paraId="322372C8" w14:textId="19D13122" w:rsidR="006278C4" w:rsidRPr="008D541E" w:rsidRDefault="006278C4" w:rsidP="00005156">
      <w:pPr>
        <w:jc w:val="both"/>
        <w:rPr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</w:pPr>
      <w:r>
        <w:rPr>
          <w:noProof/>
        </w:rPr>
        <w:lastRenderedPageBreak/>
        <w:drawing>
          <wp:inline distT="0" distB="0" distL="0" distR="0" wp14:anchorId="095693BC" wp14:editId="7225F863">
            <wp:extent cx="5943600" cy="3657600"/>
            <wp:effectExtent l="0" t="0" r="0" b="0"/>
            <wp:docPr id="947889770" name="Chart 947889770">
              <a:extLst xmlns:a="http://schemas.openxmlformats.org/drawingml/2006/main">
                <a:ext uri="{FF2B5EF4-FFF2-40B4-BE49-F238E27FC236}">
                  <a16:creationId xmlns:a16="http://schemas.microsoft.com/office/drawing/2014/main" id="{A825DB02-AEE8-9D2F-45F8-4CA77B9B2E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BBCCC84" w14:textId="77777777" w:rsidR="00E80F96" w:rsidRDefault="00746B03" w:rsidP="00005156">
      <w:pPr>
        <w:jc w:val="both"/>
        <w:rPr>
          <w:rFonts w:ascii="Proxima Nova" w:eastAsia="Times New Roman" w:hAnsi="Proxima Nova" w:cs="Calibri"/>
          <w:sz w:val="24"/>
          <w:szCs w:val="24"/>
          <w:lang w:val="sk-SK" w:eastAsia="en-GB"/>
        </w:rPr>
      </w:pPr>
      <w:r>
        <w:rPr>
          <w:rFonts w:ascii="Proxima Nova" w:eastAsia="Times New Roman" w:hAnsi="Proxima Nova" w:cs="Calibri"/>
          <w:sz w:val="24"/>
          <w:szCs w:val="24"/>
          <w:lang w:val="sk-SK" w:eastAsia="en-GB"/>
        </w:rPr>
        <w:t xml:space="preserve">GLOBSEC </w:t>
      </w:r>
      <w:proofErr w:type="spellStart"/>
      <w:r>
        <w:rPr>
          <w:rFonts w:ascii="Proxima Nova" w:eastAsia="Times New Roman" w:hAnsi="Proxima Nova" w:cs="Calibri"/>
          <w:sz w:val="24"/>
          <w:szCs w:val="24"/>
          <w:lang w:val="sk-SK" w:eastAsia="en-GB"/>
        </w:rPr>
        <w:t>Trends</w:t>
      </w:r>
      <w:proofErr w:type="spellEnd"/>
      <w:r>
        <w:rPr>
          <w:rFonts w:ascii="Proxima Nova" w:eastAsia="Times New Roman" w:hAnsi="Proxima Nova" w:cs="Calibri"/>
          <w:sz w:val="24"/>
          <w:szCs w:val="24"/>
          <w:lang w:val="sk-SK" w:eastAsia="en-GB"/>
        </w:rPr>
        <w:t xml:space="preserve"> </w:t>
      </w:r>
      <w:r w:rsidR="00825B4B">
        <w:rPr>
          <w:rFonts w:ascii="Proxima Nova" w:eastAsia="Times New Roman" w:hAnsi="Proxima Nova" w:cs="Calibri"/>
          <w:sz w:val="24"/>
          <w:szCs w:val="24"/>
          <w:lang w:val="sk-SK" w:eastAsia="en-GB"/>
        </w:rPr>
        <w:t>tento rok poukazuje</w:t>
      </w:r>
      <w:r w:rsidR="00E80F96">
        <w:rPr>
          <w:rFonts w:ascii="Proxima Nova" w:eastAsia="Times New Roman" w:hAnsi="Proxima Nova" w:cs="Calibri"/>
          <w:sz w:val="24"/>
          <w:szCs w:val="24"/>
          <w:lang w:val="sk-SK" w:eastAsia="en-GB"/>
        </w:rPr>
        <w:t xml:space="preserve"> aj na to, ako </w:t>
      </w:r>
      <w:r w:rsidR="0079754F" w:rsidRPr="0079754F">
        <w:rPr>
          <w:rFonts w:ascii="Proxima Nova" w:eastAsia="Times New Roman" w:hAnsi="Proxima Nova" w:cs="Calibri"/>
          <w:sz w:val="24"/>
          <w:szCs w:val="24"/>
          <w:lang w:val="sk-SK" w:eastAsia="en-GB"/>
        </w:rPr>
        <w:t>vplyv dezinformácií týkajúcich sa zdravia, ktoré sa šírili počas pandémie COVID-19, prispel</w:t>
      </w:r>
      <w:r w:rsidR="00E80F96">
        <w:rPr>
          <w:rFonts w:ascii="Proxima Nova" w:eastAsia="Times New Roman" w:hAnsi="Proxima Nova" w:cs="Calibri"/>
          <w:sz w:val="24"/>
          <w:szCs w:val="24"/>
          <w:lang w:val="sk-SK" w:eastAsia="en-GB"/>
        </w:rPr>
        <w:t>i</w:t>
      </w:r>
      <w:r w:rsidR="0079754F" w:rsidRPr="0079754F">
        <w:rPr>
          <w:rFonts w:ascii="Proxima Nova" w:eastAsia="Times New Roman" w:hAnsi="Proxima Nova" w:cs="Calibri"/>
          <w:sz w:val="24"/>
          <w:szCs w:val="24"/>
          <w:lang w:val="sk-SK" w:eastAsia="en-GB"/>
        </w:rPr>
        <w:t xml:space="preserve"> k nedôvere voči farmaceutickým spoločnostiam, zdravotníckym organizáciám a očkovaniu. Približne 37 % obyvateľov regiónu strednej a východnej Európy sa domnieva, že vakcíny proti COVID-19 zvyšujú riziko predčasných úmrtí, a 56 % podozrieva farmaceutické spoločnosti, že z dôvodu zisku zatajujú účinné spôsoby liečby chorôb, ako je COVID-19 a rakovina. </w:t>
      </w:r>
    </w:p>
    <w:p w14:paraId="56804677" w14:textId="27350DAD" w:rsidR="0079754F" w:rsidRDefault="0079754F" w:rsidP="00005156">
      <w:pPr>
        <w:jc w:val="both"/>
        <w:rPr>
          <w:rFonts w:ascii="Proxima Nova" w:eastAsia="Times New Roman" w:hAnsi="Proxima Nova" w:cs="Calibri"/>
          <w:sz w:val="24"/>
          <w:szCs w:val="24"/>
          <w:lang w:val="sk-SK" w:eastAsia="en-GB"/>
        </w:rPr>
      </w:pPr>
      <w:r w:rsidRPr="0079754F">
        <w:rPr>
          <w:rFonts w:ascii="Proxima Nova" w:eastAsia="Times New Roman" w:hAnsi="Proxima Nova" w:cs="Calibri"/>
          <w:sz w:val="24"/>
          <w:szCs w:val="24"/>
          <w:lang w:val="sk-SK" w:eastAsia="en-GB"/>
        </w:rPr>
        <w:t>"</w:t>
      </w:r>
      <w:r w:rsidRPr="00E80F96">
        <w:rPr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Tieto nálady rezonujú aj v spoločnostiach, ktoré vykazujú väčšiu odolnosť voči geopolitickým dezinformáciám, ako sú Česko a Poľsko. </w:t>
      </w:r>
      <w:r w:rsidR="004C452A">
        <w:rPr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Ak chceme byť lepšie pripravení na </w:t>
      </w:r>
      <w:r w:rsidRPr="00E80F96">
        <w:rPr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budúce zdravotné krízy by </w:t>
      </w:r>
      <w:r w:rsidR="004C452A">
        <w:rPr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sme t</w:t>
      </w:r>
      <w:r w:rsidR="006278C4" w:rsidRPr="00E80F96">
        <w:rPr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ú</w:t>
      </w:r>
      <w:r w:rsidR="004C452A">
        <w:rPr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to nedôveru </w:t>
      </w:r>
      <w:r w:rsidRPr="00E80F96">
        <w:rPr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mal</w:t>
      </w:r>
      <w:r w:rsidR="004C452A">
        <w:rPr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i</w:t>
      </w:r>
      <w:r w:rsidRPr="00E80F96">
        <w:rPr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 riešiť teraz, keď zdravie nie je </w:t>
      </w:r>
      <w:r w:rsidR="004C452A">
        <w:rPr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 xml:space="preserve">témou číslo jedna </w:t>
      </w:r>
      <w:r w:rsidRPr="00E80F96">
        <w:rPr>
          <w:rFonts w:ascii="Proxima Nova" w:eastAsia="Times New Roman" w:hAnsi="Proxima Nova" w:cs="Calibri"/>
          <w:i/>
          <w:iCs/>
          <w:sz w:val="24"/>
          <w:szCs w:val="24"/>
          <w:lang w:val="sk-SK" w:eastAsia="en-GB"/>
        </w:rPr>
        <w:t>politickej agendy</w:t>
      </w:r>
      <w:r w:rsidRPr="0079754F">
        <w:rPr>
          <w:rFonts w:ascii="Proxima Nova" w:eastAsia="Times New Roman" w:hAnsi="Proxima Nova" w:cs="Calibri"/>
          <w:sz w:val="24"/>
          <w:szCs w:val="24"/>
          <w:lang w:val="sk-SK" w:eastAsia="en-GB"/>
        </w:rPr>
        <w:t xml:space="preserve">," </w:t>
      </w:r>
      <w:r w:rsidR="004C452A">
        <w:rPr>
          <w:rFonts w:ascii="Proxima Nova" w:eastAsia="Times New Roman" w:hAnsi="Proxima Nova" w:cs="Calibri"/>
          <w:sz w:val="24"/>
          <w:szCs w:val="24"/>
          <w:lang w:val="sk-SK" w:eastAsia="en-GB"/>
        </w:rPr>
        <w:t xml:space="preserve">dodala D. Hajdu. </w:t>
      </w:r>
    </w:p>
    <w:p w14:paraId="66DC26D7" w14:textId="345B8B06" w:rsidR="008D541E" w:rsidRPr="0079754F" w:rsidRDefault="008D541E" w:rsidP="00005156">
      <w:pPr>
        <w:jc w:val="both"/>
        <w:rPr>
          <w:rFonts w:ascii="Proxima Nova" w:eastAsia="Times New Roman" w:hAnsi="Proxima Nova" w:cs="Calibri"/>
          <w:sz w:val="24"/>
          <w:szCs w:val="24"/>
          <w:lang w:val="sk-SK" w:eastAsia="en-GB"/>
        </w:rPr>
      </w:pPr>
      <w:r>
        <w:rPr>
          <w:noProof/>
        </w:rPr>
        <w:lastRenderedPageBreak/>
        <w:drawing>
          <wp:inline distT="0" distB="0" distL="0" distR="0" wp14:anchorId="36F13607" wp14:editId="1307E7D5">
            <wp:extent cx="5943600" cy="2942377"/>
            <wp:effectExtent l="0" t="0" r="0" b="10795"/>
            <wp:docPr id="156853601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9549737-4CAD-11DC-5745-CEC72C8FD2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6A2287" w14:textId="58B62C6F" w:rsidR="0079754F" w:rsidRPr="0079754F" w:rsidRDefault="009836AF" w:rsidP="00005156">
      <w:pPr>
        <w:jc w:val="both"/>
        <w:rPr>
          <w:rFonts w:ascii="Proxima Nova" w:eastAsia="Times New Roman" w:hAnsi="Proxima Nova" w:cs="Calibri"/>
          <w:sz w:val="24"/>
          <w:szCs w:val="24"/>
          <w:lang w:val="sk-SK" w:eastAsia="en-GB"/>
        </w:rPr>
      </w:pPr>
      <w:r w:rsidRPr="0079754F">
        <w:rPr>
          <w:rFonts w:ascii="Proxima Nova" w:eastAsia="Times New Roman" w:hAnsi="Proxima Nova" w:cs="Calibri"/>
          <w:sz w:val="24"/>
          <w:szCs w:val="24"/>
          <w:lang w:val="sk-SK" w:eastAsia="en-GB"/>
        </w:rPr>
        <w:t xml:space="preserve">Prípad Slovenska poukazuje na širšie výzvy, ktorým čelia krajiny strednej a východnej Európy uprostred ruskej agresie a manipulatívnych naratívov. Náchylnosť na dezinformácie a vnútorná politika naďalej formujú verejnú mienku v celom regióne. </w:t>
      </w:r>
      <w:r w:rsidR="00B84256">
        <w:rPr>
          <w:rFonts w:ascii="Proxima Nova" w:eastAsia="Times New Roman" w:hAnsi="Proxima Nova" w:cs="Calibri"/>
          <w:sz w:val="24"/>
          <w:szCs w:val="24"/>
          <w:lang w:val="sk-SK" w:eastAsia="en-GB"/>
        </w:rPr>
        <w:t xml:space="preserve"> </w:t>
      </w:r>
      <w:r w:rsidR="0079754F" w:rsidRPr="0079754F">
        <w:rPr>
          <w:rFonts w:ascii="Proxima Nova" w:eastAsia="Times New Roman" w:hAnsi="Proxima Nova" w:cs="Calibri"/>
          <w:sz w:val="24"/>
          <w:szCs w:val="24"/>
          <w:lang w:val="sk-SK" w:eastAsia="en-GB"/>
        </w:rPr>
        <w:t xml:space="preserve">Viac informácií nájdete na stránke GLOBSEC </w:t>
      </w:r>
      <w:proofErr w:type="spellStart"/>
      <w:r w:rsidR="0079754F" w:rsidRPr="0079754F">
        <w:rPr>
          <w:rFonts w:ascii="Proxima Nova" w:eastAsia="Times New Roman" w:hAnsi="Proxima Nova" w:cs="Calibri"/>
          <w:sz w:val="24"/>
          <w:szCs w:val="24"/>
          <w:lang w:val="sk-SK" w:eastAsia="en-GB"/>
        </w:rPr>
        <w:t>Trends</w:t>
      </w:r>
      <w:proofErr w:type="spellEnd"/>
      <w:r w:rsidR="0079754F" w:rsidRPr="0079754F">
        <w:rPr>
          <w:rFonts w:ascii="Proxima Nova" w:eastAsia="Times New Roman" w:hAnsi="Proxima Nova" w:cs="Calibri"/>
          <w:sz w:val="24"/>
          <w:szCs w:val="24"/>
          <w:lang w:val="sk-SK" w:eastAsia="en-GB"/>
        </w:rPr>
        <w:t xml:space="preserve"> 2023 tu: </w:t>
      </w:r>
      <w:hyperlink r:id="rId13" w:history="1">
        <w:r w:rsidR="00B84256" w:rsidRPr="00352074">
          <w:rPr>
            <w:rStyle w:val="Hypertextovprepojenie"/>
            <w:rFonts w:ascii="Proxima Nova" w:eastAsia="Times New Roman" w:hAnsi="Proxima Nova" w:cs="Calibri"/>
            <w:sz w:val="24"/>
            <w:szCs w:val="24"/>
            <w:lang w:val="sk-SK" w:eastAsia="en-GB"/>
          </w:rPr>
          <w:t>https://www.globsec.org/what-we-do/publications/globsec-trends-2023</w:t>
        </w:r>
      </w:hyperlink>
      <w:r w:rsidR="00B84256">
        <w:rPr>
          <w:rFonts w:ascii="Proxima Nova" w:eastAsia="Times New Roman" w:hAnsi="Proxima Nova" w:cs="Calibri"/>
          <w:sz w:val="24"/>
          <w:szCs w:val="24"/>
          <w:lang w:val="sk-SK" w:eastAsia="en-GB"/>
        </w:rPr>
        <w:t xml:space="preserve"> </w:t>
      </w:r>
    </w:p>
    <w:p w14:paraId="47A6DC42" w14:textId="77777777" w:rsidR="006278C4" w:rsidRDefault="006278C4" w:rsidP="00005156">
      <w:pPr>
        <w:jc w:val="both"/>
        <w:rPr>
          <w:rFonts w:ascii="Proxima Nova" w:eastAsia="Times New Roman" w:hAnsi="Proxima Nova" w:cs="Calibri"/>
          <w:sz w:val="24"/>
          <w:szCs w:val="24"/>
          <w:lang w:val="sk-SK" w:eastAsia="en-GB"/>
        </w:rPr>
      </w:pPr>
    </w:p>
    <w:p w14:paraId="2C451C85" w14:textId="77777777" w:rsidR="006278C4" w:rsidRDefault="006278C4" w:rsidP="00005156">
      <w:pPr>
        <w:jc w:val="both"/>
        <w:rPr>
          <w:rFonts w:ascii="Proxima Nova" w:eastAsia="Times New Roman" w:hAnsi="Proxima Nova" w:cs="Calibri"/>
          <w:sz w:val="24"/>
          <w:szCs w:val="24"/>
          <w:lang w:val="sk-SK" w:eastAsia="en-GB"/>
        </w:rPr>
      </w:pPr>
    </w:p>
    <w:p w14:paraId="0F71490D" w14:textId="4D83B1F8" w:rsidR="00876939" w:rsidRPr="008376FA" w:rsidRDefault="0079754F" w:rsidP="00005156">
      <w:pPr>
        <w:jc w:val="both"/>
        <w:rPr>
          <w:rFonts w:ascii="Proxima Nova" w:eastAsia="Times New Roman" w:hAnsi="Proxima Nova" w:cs="Calibri"/>
          <w:sz w:val="24"/>
          <w:szCs w:val="24"/>
          <w:lang w:val="sk-SK" w:eastAsia="en-GB"/>
        </w:rPr>
      </w:pPr>
      <w:r w:rsidRPr="0079754F">
        <w:rPr>
          <w:rFonts w:ascii="Proxima Nova" w:eastAsia="Times New Roman" w:hAnsi="Proxima Nova" w:cs="Calibri"/>
          <w:sz w:val="24"/>
          <w:szCs w:val="24"/>
          <w:lang w:val="sk-SK" w:eastAsia="en-GB"/>
        </w:rPr>
        <w:t>Kontakt pre médiá:</w:t>
      </w:r>
      <w:r w:rsidR="006278C4">
        <w:rPr>
          <w:rFonts w:ascii="Proxima Nova" w:eastAsia="Times New Roman" w:hAnsi="Proxima Nova" w:cs="Calibri"/>
          <w:sz w:val="24"/>
          <w:szCs w:val="24"/>
          <w:lang w:val="sk-SK" w:eastAsia="en-GB"/>
        </w:rPr>
        <w:t xml:space="preserve"> adam.sipos@globsec.org</w:t>
      </w:r>
    </w:p>
    <w:sectPr w:rsidR="00876939" w:rsidRPr="008376F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B598" w14:textId="77777777" w:rsidR="007C18FB" w:rsidRDefault="007C18FB" w:rsidP="00D35094">
      <w:pPr>
        <w:spacing w:after="0" w:line="240" w:lineRule="auto"/>
      </w:pPr>
      <w:r>
        <w:separator/>
      </w:r>
    </w:p>
  </w:endnote>
  <w:endnote w:type="continuationSeparator" w:id="0">
    <w:p w14:paraId="4D43743B" w14:textId="77777777" w:rsidR="007C18FB" w:rsidRDefault="007C18FB" w:rsidP="00D3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altName w:val="Tahoma"/>
    <w:panose1 w:val="020B0604020202020204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7F3D" w14:textId="77777777" w:rsidR="007C18FB" w:rsidRDefault="007C18FB" w:rsidP="00D35094">
      <w:pPr>
        <w:spacing w:after="0" w:line="240" w:lineRule="auto"/>
      </w:pPr>
      <w:r>
        <w:separator/>
      </w:r>
    </w:p>
  </w:footnote>
  <w:footnote w:type="continuationSeparator" w:id="0">
    <w:p w14:paraId="2395544F" w14:textId="77777777" w:rsidR="007C18FB" w:rsidRDefault="007C18FB" w:rsidP="00D35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53C2" w14:textId="26F86894" w:rsidR="00D35094" w:rsidRDefault="00D35094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D0B023" wp14:editId="74419565">
          <wp:simplePos x="0" y="0"/>
          <wp:positionH relativeFrom="page">
            <wp:posOffset>492369</wp:posOffset>
          </wp:positionH>
          <wp:positionV relativeFrom="paragraph">
            <wp:posOffset>-161778</wp:posOffset>
          </wp:positionV>
          <wp:extent cx="6707488" cy="431442"/>
          <wp:effectExtent l="0" t="0" r="0" b="698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7488" cy="4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60E9"/>
    <w:multiLevelType w:val="hybridMultilevel"/>
    <w:tmpl w:val="151889CA"/>
    <w:lvl w:ilvl="0" w:tplc="9C225340">
      <w:start w:val="30"/>
      <w:numFmt w:val="bullet"/>
      <w:lvlText w:val="-"/>
      <w:lvlJc w:val="left"/>
      <w:pPr>
        <w:ind w:left="720" w:hanging="360"/>
      </w:pPr>
      <w:rPr>
        <w:rFonts w:ascii="Proxima Nova" w:eastAsia="Times New Roman" w:hAnsi="Proxima Nov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52171"/>
    <w:multiLevelType w:val="hybridMultilevel"/>
    <w:tmpl w:val="BEE4AA78"/>
    <w:lvl w:ilvl="0" w:tplc="F7FACE52">
      <w:start w:val="30"/>
      <w:numFmt w:val="bullet"/>
      <w:lvlText w:val="-"/>
      <w:lvlJc w:val="left"/>
      <w:pPr>
        <w:ind w:left="720" w:hanging="360"/>
      </w:pPr>
      <w:rPr>
        <w:rFonts w:ascii="Proxima Nova" w:eastAsia="Times New Roman" w:hAnsi="Proxima Nov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94240">
    <w:abstractNumId w:val="1"/>
  </w:num>
  <w:num w:numId="2" w16cid:durableId="214631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18"/>
    <w:rsid w:val="00005156"/>
    <w:rsid w:val="00031BF0"/>
    <w:rsid w:val="000345B2"/>
    <w:rsid w:val="000F10D7"/>
    <w:rsid w:val="0014641E"/>
    <w:rsid w:val="001F1181"/>
    <w:rsid w:val="00222C9F"/>
    <w:rsid w:val="002448D6"/>
    <w:rsid w:val="00245856"/>
    <w:rsid w:val="00256AFD"/>
    <w:rsid w:val="002D4F1B"/>
    <w:rsid w:val="002F2DAC"/>
    <w:rsid w:val="00320CF0"/>
    <w:rsid w:val="003B05A7"/>
    <w:rsid w:val="003D379C"/>
    <w:rsid w:val="004050AE"/>
    <w:rsid w:val="004254DF"/>
    <w:rsid w:val="004C452A"/>
    <w:rsid w:val="004C688D"/>
    <w:rsid w:val="005A0B06"/>
    <w:rsid w:val="005D5967"/>
    <w:rsid w:val="005E2354"/>
    <w:rsid w:val="00614518"/>
    <w:rsid w:val="00620685"/>
    <w:rsid w:val="006278C4"/>
    <w:rsid w:val="0069607A"/>
    <w:rsid w:val="006A3E48"/>
    <w:rsid w:val="006B1105"/>
    <w:rsid w:val="006C5131"/>
    <w:rsid w:val="007002C8"/>
    <w:rsid w:val="00713439"/>
    <w:rsid w:val="00746B03"/>
    <w:rsid w:val="0078607E"/>
    <w:rsid w:val="0079754F"/>
    <w:rsid w:val="007B647E"/>
    <w:rsid w:val="007C18FB"/>
    <w:rsid w:val="00825B4B"/>
    <w:rsid w:val="008376FA"/>
    <w:rsid w:val="00876939"/>
    <w:rsid w:val="008A6CA1"/>
    <w:rsid w:val="008D541E"/>
    <w:rsid w:val="009836AF"/>
    <w:rsid w:val="00A20BF7"/>
    <w:rsid w:val="00A54D7A"/>
    <w:rsid w:val="00AA56D2"/>
    <w:rsid w:val="00AA62D7"/>
    <w:rsid w:val="00B40549"/>
    <w:rsid w:val="00B84256"/>
    <w:rsid w:val="00C8459E"/>
    <w:rsid w:val="00CA3886"/>
    <w:rsid w:val="00CA4DC9"/>
    <w:rsid w:val="00CB5FA9"/>
    <w:rsid w:val="00CD1B2D"/>
    <w:rsid w:val="00CD58CA"/>
    <w:rsid w:val="00D35094"/>
    <w:rsid w:val="00E80F96"/>
    <w:rsid w:val="00F515A2"/>
    <w:rsid w:val="00F51A82"/>
    <w:rsid w:val="00FC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1AA5"/>
  <w15:chartTrackingRefBased/>
  <w15:docId w15:val="{28D54844-7726-4251-8AF1-6707E050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4518"/>
    <w:rPr>
      <w:kern w:val="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61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Predvolenpsmoodseku"/>
    <w:rsid w:val="00614518"/>
  </w:style>
  <w:style w:type="character" w:customStyle="1" w:styleId="eop">
    <w:name w:val="eop"/>
    <w:basedOn w:val="Predvolenpsmoodseku"/>
    <w:rsid w:val="00614518"/>
  </w:style>
  <w:style w:type="character" w:styleId="Hypertextovprepojenie">
    <w:name w:val="Hyperlink"/>
    <w:basedOn w:val="Predvolenpsmoodseku"/>
    <w:uiPriority w:val="99"/>
    <w:unhideWhenUsed/>
    <w:rsid w:val="00614518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614518"/>
    <w:pPr>
      <w:spacing w:after="0" w:line="240" w:lineRule="auto"/>
    </w:pPr>
    <w:rPr>
      <w:kern w:val="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CA4D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A4DC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A4DC9"/>
    <w:rPr>
      <w:kern w:val="0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4D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4DC9"/>
    <w:rPr>
      <w:b/>
      <w:bCs/>
      <w:kern w:val="0"/>
      <w:sz w:val="20"/>
      <w:szCs w:val="20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D35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5094"/>
    <w:rPr>
      <w:kern w:val="0"/>
      <w:lang w:val="en-GB"/>
    </w:rPr>
  </w:style>
  <w:style w:type="paragraph" w:styleId="Pta">
    <w:name w:val="footer"/>
    <w:basedOn w:val="Normlny"/>
    <w:link w:val="PtaChar"/>
    <w:uiPriority w:val="99"/>
    <w:unhideWhenUsed/>
    <w:rsid w:val="00D35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5094"/>
    <w:rPr>
      <w:kern w:val="0"/>
      <w:lang w:val="en-GB"/>
    </w:rPr>
  </w:style>
  <w:style w:type="paragraph" w:styleId="Odsekzoznamu">
    <w:name w:val="List Paragraph"/>
    <w:basedOn w:val="Normlny"/>
    <w:uiPriority w:val="34"/>
    <w:qFormat/>
    <w:rsid w:val="007B647E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B84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lobsec.org/what-we-do/publications/globsec-trends-20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roxima Nova" panose="02000506030000020004" pitchFamily="50" charset="0"/>
                <a:ea typeface="+mn-ea"/>
                <a:cs typeface="+mn-cs"/>
              </a:defRPr>
            </a:pPr>
            <a:r>
              <a:rPr lang="sk-SK" sz="1200" b="0" i="0" u="none" strike="noStrike" baseline="0">
                <a:effectLst/>
              </a:rPr>
              <a:t>Predstavte si, že by sa najbližší víkend konalo vo vašej krajine referendum o členstve krajiny v NATO. Ako by ste v takomto referende hlasovali – za zotrvanie v NATO alebo za vystúpenie z NATO?</a:t>
            </a:r>
            <a:endParaRPr lang="en-US" sz="1200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roxima Nova" panose="02000506030000020004" pitchFamily="50" charset="0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Sheet1!$B$10</c:f>
              <c:strCache>
                <c:ptCount val="1"/>
                <c:pt idx="0">
                  <c:v>Zostať v NATO</c:v>
                </c:pt>
              </c:strCache>
            </c:strRef>
          </c:tx>
          <c:spPr>
            <a:solidFill>
              <a:srgbClr val="00393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roxima Nova" panose="02000506030000020004" pitchFamily="50" charset="0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Sheet1!$C$9:$J$9</c:f>
              <c:strCache>
                <c:ptCount val="8"/>
                <c:pt idx="0">
                  <c:v>Bulharsko</c:v>
                </c:pt>
                <c:pt idx="1">
                  <c:v>Česko</c:v>
                </c:pt>
                <c:pt idx="2">
                  <c:v>Litva</c:v>
                </c:pt>
                <c:pt idx="3">
                  <c:v>Lotyšsko</c:v>
                </c:pt>
                <c:pt idx="4">
                  <c:v>Maďarsko</c:v>
                </c:pt>
                <c:pt idx="5">
                  <c:v>Poľsko</c:v>
                </c:pt>
                <c:pt idx="6">
                  <c:v>Rumunsko</c:v>
                </c:pt>
                <c:pt idx="7">
                  <c:v>Slovensko</c:v>
                </c:pt>
              </c:strCache>
            </c:strRef>
          </c:cat>
          <c:val>
            <c:numRef>
              <c:f>Sheet1!$C$10:$J$10</c:f>
              <c:numCache>
                <c:formatCode>0%</c:formatCode>
                <c:ptCount val="8"/>
                <c:pt idx="0">
                  <c:v>0.57799999999999996</c:v>
                </c:pt>
                <c:pt idx="1">
                  <c:v>0.85099999999999998</c:v>
                </c:pt>
                <c:pt idx="2">
                  <c:v>0.878</c:v>
                </c:pt>
                <c:pt idx="3">
                  <c:v>0.78799999999999992</c:v>
                </c:pt>
                <c:pt idx="4">
                  <c:v>0.88700000000000001</c:v>
                </c:pt>
                <c:pt idx="5">
                  <c:v>0.93700000000000006</c:v>
                </c:pt>
                <c:pt idx="6">
                  <c:v>0.88900000000000001</c:v>
                </c:pt>
                <c:pt idx="7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06-48B8-A201-6CC4099E3EE2}"/>
            </c:ext>
          </c:extLst>
        </c:ser>
        <c:ser>
          <c:idx val="1"/>
          <c:order val="1"/>
          <c:tx>
            <c:strRef>
              <c:f>Sheet1!$B$11</c:f>
              <c:strCache>
                <c:ptCount val="1"/>
                <c:pt idx="0">
                  <c:v>Vystúpiť z NATO</c:v>
                </c:pt>
              </c:strCache>
            </c:strRef>
          </c:tx>
          <c:spPr>
            <a:solidFill>
              <a:srgbClr val="9BD3A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roxima Nova" panose="02000506030000020004" pitchFamily="50" charset="0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Sheet1!$C$9:$J$9</c:f>
              <c:strCache>
                <c:ptCount val="8"/>
                <c:pt idx="0">
                  <c:v>Bulharsko</c:v>
                </c:pt>
                <c:pt idx="1">
                  <c:v>Česko</c:v>
                </c:pt>
                <c:pt idx="2">
                  <c:v>Litva</c:v>
                </c:pt>
                <c:pt idx="3">
                  <c:v>Lotyšsko</c:v>
                </c:pt>
                <c:pt idx="4">
                  <c:v>Maďarsko</c:v>
                </c:pt>
                <c:pt idx="5">
                  <c:v>Poľsko</c:v>
                </c:pt>
                <c:pt idx="6">
                  <c:v>Rumunsko</c:v>
                </c:pt>
                <c:pt idx="7">
                  <c:v>Slovensko</c:v>
                </c:pt>
              </c:strCache>
            </c:strRef>
          </c:cat>
          <c:val>
            <c:numRef>
              <c:f>Sheet1!$C$11:$J$11</c:f>
              <c:numCache>
                <c:formatCode>0%</c:formatCode>
                <c:ptCount val="8"/>
                <c:pt idx="0">
                  <c:v>0.312</c:v>
                </c:pt>
                <c:pt idx="1">
                  <c:v>0.11599999999999999</c:v>
                </c:pt>
                <c:pt idx="2">
                  <c:v>4.2999999999999997E-2</c:v>
                </c:pt>
                <c:pt idx="3">
                  <c:v>0.13600000000000001</c:v>
                </c:pt>
                <c:pt idx="4">
                  <c:v>6.2E-2</c:v>
                </c:pt>
                <c:pt idx="5">
                  <c:v>2.2000000000000002E-2</c:v>
                </c:pt>
                <c:pt idx="6">
                  <c:v>0.08</c:v>
                </c:pt>
                <c:pt idx="7">
                  <c:v>0.32500000000000001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06-48B8-A201-6CC4099E3E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43238280"/>
        <c:axId val="843244400"/>
      </c:barChart>
      <c:catAx>
        <c:axId val="843238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roxima Nova" panose="02000506030000020004" pitchFamily="50" charset="0"/>
                <a:ea typeface="+mn-ea"/>
                <a:cs typeface="+mn-cs"/>
              </a:defRPr>
            </a:pPr>
            <a:endParaRPr lang="sk-SK"/>
          </a:p>
        </c:txPr>
        <c:crossAx val="843244400"/>
        <c:crosses val="autoZero"/>
        <c:auto val="1"/>
        <c:lblAlgn val="ctr"/>
        <c:lblOffset val="100"/>
        <c:noMultiLvlLbl val="0"/>
      </c:catAx>
      <c:valAx>
        <c:axId val="84324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roxima Nova" panose="02000506030000020004" pitchFamily="50" charset="0"/>
                <a:ea typeface="+mn-ea"/>
                <a:cs typeface="+mn-cs"/>
              </a:defRPr>
            </a:pPr>
            <a:endParaRPr lang="sk-SK"/>
          </a:p>
        </c:txPr>
        <c:crossAx val="843238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roxima Nova" panose="02000506030000020004" pitchFamily="50" charset="0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Proxima Nova" panose="02000506030000020004" pitchFamily="50" charset="0"/>
        </a:defRPr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775556901541154E-2"/>
          <c:y val="0.24652777777777779"/>
          <c:w val="0.90172016959418533"/>
          <c:h val="0.653143044619422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Sheet1!$B$20</c:f>
              <c:strCache>
                <c:ptCount val="1"/>
                <c:pt idx="0">
                  <c:v>Tým, že poskytujeme vojenskú techniku a zbrane Ukrajine, pomáhame Ukrajine brániť sa proti Rusku. 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roxima Nova" panose="02000506030000020004" pitchFamily="50" charset="0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Sheet1!$C$19:$I$19</c:f>
              <c:strCache>
                <c:ptCount val="7"/>
                <c:pt idx="0">
                  <c:v>Poľsko</c:v>
                </c:pt>
                <c:pt idx="1">
                  <c:v>Litva</c:v>
                </c:pt>
                <c:pt idx="2">
                  <c:v>Česko</c:v>
                </c:pt>
                <c:pt idx="3">
                  <c:v>Rumunsko</c:v>
                </c:pt>
                <c:pt idx="4">
                  <c:v>Lotyšsko</c:v>
                </c:pt>
                <c:pt idx="5">
                  <c:v>Slovensko</c:v>
                </c:pt>
                <c:pt idx="6">
                  <c:v>Bulharsko</c:v>
                </c:pt>
              </c:strCache>
            </c:strRef>
          </c:cat>
          <c:val>
            <c:numRef>
              <c:f>Sheet1!$C$20:$I$20</c:f>
              <c:numCache>
                <c:formatCode>0%</c:formatCode>
                <c:ptCount val="7"/>
                <c:pt idx="0">
                  <c:v>0.92500000000000004</c:v>
                </c:pt>
                <c:pt idx="1">
                  <c:v>0.84300000000000008</c:v>
                </c:pt>
                <c:pt idx="2">
                  <c:v>0.8</c:v>
                </c:pt>
                <c:pt idx="3">
                  <c:v>0.77900000000000003</c:v>
                </c:pt>
                <c:pt idx="4">
                  <c:v>0.77800000000000002</c:v>
                </c:pt>
                <c:pt idx="5">
                  <c:v>0.57200000000000006</c:v>
                </c:pt>
                <c:pt idx="6">
                  <c:v>0.48899999999999999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86-4F31-B829-4E68BE74E932}"/>
            </c:ext>
          </c:extLst>
        </c:ser>
        <c:ser>
          <c:idx val="1"/>
          <c:order val="1"/>
          <c:tx>
            <c:strRef>
              <c:f>Sheet1!$B$21</c:f>
              <c:strCache>
                <c:ptCount val="1"/>
                <c:pt idx="0">
                  <c:v>Tým, že poskytujeme vojenskú techniku a zbrane Ukrajine, provokujeme Rusko a približujeme sa k vojne. 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roxima Nova" panose="02000506030000020004" pitchFamily="50" charset="0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Sheet1!$C$19:$I$19</c:f>
              <c:strCache>
                <c:ptCount val="7"/>
                <c:pt idx="0">
                  <c:v>Poľsko</c:v>
                </c:pt>
                <c:pt idx="1">
                  <c:v>Litva</c:v>
                </c:pt>
                <c:pt idx="2">
                  <c:v>Česko</c:v>
                </c:pt>
                <c:pt idx="3">
                  <c:v>Rumunsko</c:v>
                </c:pt>
                <c:pt idx="4">
                  <c:v>Lotyšsko</c:v>
                </c:pt>
                <c:pt idx="5">
                  <c:v>Slovensko</c:v>
                </c:pt>
                <c:pt idx="6">
                  <c:v>Bulharsko</c:v>
                </c:pt>
              </c:strCache>
            </c:strRef>
          </c:cat>
          <c:val>
            <c:numRef>
              <c:f>Sheet1!$C$21:$I$21</c:f>
              <c:numCache>
                <c:formatCode>0%</c:formatCode>
                <c:ptCount val="7"/>
                <c:pt idx="0">
                  <c:v>0.33899999999999997</c:v>
                </c:pt>
                <c:pt idx="1">
                  <c:v>0.36799999999999999</c:v>
                </c:pt>
                <c:pt idx="2">
                  <c:v>0.377</c:v>
                </c:pt>
                <c:pt idx="3">
                  <c:v>0.59099999999999997</c:v>
                </c:pt>
                <c:pt idx="4">
                  <c:v>0.28799999999999998</c:v>
                </c:pt>
                <c:pt idx="5">
                  <c:v>0.69299999999999995</c:v>
                </c:pt>
                <c:pt idx="6">
                  <c:v>0.59399999999999997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86-4F31-B829-4E68BE74E93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87395312"/>
        <c:axId val="787395672"/>
      </c:barChart>
      <c:catAx>
        <c:axId val="78739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roxima Nova" panose="02000506030000020004" pitchFamily="50" charset="0"/>
                <a:ea typeface="+mn-ea"/>
                <a:cs typeface="+mn-cs"/>
              </a:defRPr>
            </a:pPr>
            <a:endParaRPr lang="sk-SK"/>
          </a:p>
        </c:txPr>
        <c:crossAx val="787395672"/>
        <c:crosses val="autoZero"/>
        <c:auto val="1"/>
        <c:lblAlgn val="ctr"/>
        <c:lblOffset val="100"/>
        <c:noMultiLvlLbl val="0"/>
      </c:catAx>
      <c:valAx>
        <c:axId val="787395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roxima Nova" panose="02000506030000020004" pitchFamily="50" charset="0"/>
                <a:ea typeface="+mn-ea"/>
                <a:cs typeface="+mn-cs"/>
              </a:defRPr>
            </a:pPr>
            <a:endParaRPr lang="sk-SK"/>
          </a:p>
        </c:txPr>
        <c:crossAx val="78739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roxima Nova" panose="02000506030000020004" pitchFamily="50" charset="0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Proxima Nova" panose="02000506030000020004" pitchFamily="50" charset="0"/>
        </a:defRPr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roxima Nova" panose="02000506030000020004" pitchFamily="50" charset="0"/>
                <a:ea typeface="+mn-ea"/>
                <a:cs typeface="+mn-cs"/>
              </a:defRPr>
            </a:pPr>
            <a:r>
              <a:rPr lang="sk-SK" sz="1200">
                <a:effectLst/>
              </a:rPr>
              <a:t>Tí, čo súhlasia, že farmaceutické spoločnosti v skutočnosti skrývajú lieky na vyliečenie niektorých chorôb ako COVID alebo rakovina, pretože ich zaujíma iba zisk.</a:t>
            </a:r>
            <a:endParaRPr lang="en-US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roxima Nova" panose="02000506030000020004" pitchFamily="50" charset="0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5AB9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roxima Nova" panose="02000506030000020004" pitchFamily="50" charset="0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Sheet1!$C$34:$J$34</c:f>
              <c:strCache>
                <c:ptCount val="8"/>
                <c:pt idx="0">
                  <c:v>Bulharsko</c:v>
                </c:pt>
                <c:pt idx="1">
                  <c:v>Česko</c:v>
                </c:pt>
                <c:pt idx="2">
                  <c:v>Maďarsko</c:v>
                </c:pt>
                <c:pt idx="3">
                  <c:v>Lotyšsko</c:v>
                </c:pt>
                <c:pt idx="4">
                  <c:v>Litva</c:v>
                </c:pt>
                <c:pt idx="5">
                  <c:v>Poľsko</c:v>
                </c:pt>
                <c:pt idx="6">
                  <c:v>Rumunsko</c:v>
                </c:pt>
                <c:pt idx="7">
                  <c:v>Slovensko</c:v>
                </c:pt>
              </c:strCache>
            </c:strRef>
          </c:cat>
          <c:val>
            <c:numRef>
              <c:f>Sheet1!$C$35:$J$35</c:f>
              <c:numCache>
                <c:formatCode>0%</c:formatCode>
                <c:ptCount val="8"/>
                <c:pt idx="0">
                  <c:v>0.67</c:v>
                </c:pt>
                <c:pt idx="1">
                  <c:v>0.40500000000000003</c:v>
                </c:pt>
                <c:pt idx="2">
                  <c:v>0.58899999999999997</c:v>
                </c:pt>
                <c:pt idx="3">
                  <c:v>0.52200000000000002</c:v>
                </c:pt>
                <c:pt idx="4">
                  <c:v>0.50900000000000001</c:v>
                </c:pt>
                <c:pt idx="5">
                  <c:v>0.59799999999999998</c:v>
                </c:pt>
                <c:pt idx="6">
                  <c:v>0.60899999999999999</c:v>
                </c:pt>
                <c:pt idx="7">
                  <c:v>0.57100000000000006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08-4126-B84A-AB9190500E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0504504"/>
        <c:axId val="750504864"/>
      </c:barChart>
      <c:catAx>
        <c:axId val="750504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roxima Nova" panose="02000506030000020004" pitchFamily="50" charset="0"/>
                <a:ea typeface="+mn-ea"/>
                <a:cs typeface="+mn-cs"/>
              </a:defRPr>
            </a:pPr>
            <a:endParaRPr lang="sk-SK"/>
          </a:p>
        </c:txPr>
        <c:crossAx val="750504864"/>
        <c:crosses val="autoZero"/>
        <c:auto val="1"/>
        <c:lblAlgn val="ctr"/>
        <c:lblOffset val="100"/>
        <c:noMultiLvlLbl val="0"/>
      </c:catAx>
      <c:valAx>
        <c:axId val="75050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roxima Nova" panose="02000506030000020004" pitchFamily="50" charset="0"/>
                <a:ea typeface="+mn-ea"/>
                <a:cs typeface="+mn-cs"/>
              </a:defRPr>
            </a:pPr>
            <a:endParaRPr lang="sk-SK"/>
          </a:p>
        </c:txPr>
        <c:crossAx val="750504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Proxima Nova" panose="02000506030000020004" pitchFamily="50" charset="0"/>
        </a:defRPr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4854b-aba0-47cd-811e-d0ae03f56d46" xsi:nil="true"/>
    <lcf76f155ced4ddcb4097134ff3c332f xmlns="ec4a6228-929c-4db0-a913-3d90b51873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BB2BD626CE144B1B2B5049E36F737" ma:contentTypeVersion="16" ma:contentTypeDescription="Umožňuje vytvoriť nový dokument." ma:contentTypeScope="" ma:versionID="1b23d184855867dfc2ea3a352b033b4b">
  <xsd:schema xmlns:xsd="http://www.w3.org/2001/XMLSchema" xmlns:xs="http://www.w3.org/2001/XMLSchema" xmlns:p="http://schemas.microsoft.com/office/2006/metadata/properties" xmlns:ns2="ec4a6228-929c-4db0-a913-3d90b5187327" xmlns:ns3="cb34854b-aba0-47cd-811e-d0ae03f56d46" targetNamespace="http://schemas.microsoft.com/office/2006/metadata/properties" ma:root="true" ma:fieldsID="b91d61a3f97893b1d97634b47217b041" ns2:_="" ns3:_="">
    <xsd:import namespace="ec4a6228-929c-4db0-a913-3d90b5187327"/>
    <xsd:import namespace="cb34854b-aba0-47cd-811e-d0ae03f56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a6228-929c-4db0-a913-3d90b5187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fde011a-9332-49af-a1ed-da929bb01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854b-aba0-47cd-811e-d0ae03f56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b2cbbd-4f89-4e4d-ab4b-7ae512a3e79d}" ma:internalName="TaxCatchAll" ma:showField="CatchAllData" ma:web="cb34854b-aba0-47cd-811e-d0ae03f56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C1032-7133-4B63-8386-CE4A0B89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38AFC-D165-45EE-A1BE-941D3DF2C5F4}">
  <ds:schemaRefs>
    <ds:schemaRef ds:uri="http://schemas.microsoft.com/office/2006/metadata/properties"/>
    <ds:schemaRef ds:uri="http://schemas.microsoft.com/office/infopath/2007/PartnerControls"/>
    <ds:schemaRef ds:uri="cb34854b-aba0-47cd-811e-d0ae03f56d46"/>
    <ds:schemaRef ds:uri="ec4a6228-929c-4db0-a913-3d90b5187327"/>
  </ds:schemaRefs>
</ds:datastoreItem>
</file>

<file path=customXml/itemProps3.xml><?xml version="1.0" encoding="utf-8"?>
<ds:datastoreItem xmlns:ds="http://schemas.openxmlformats.org/officeDocument/2006/customXml" ds:itemID="{DE37B3DB-C524-442C-B303-4EA3F0FFF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a6228-929c-4db0-a913-3d90b5187327"/>
    <ds:schemaRef ds:uri="cb34854b-aba0-47cd-811e-d0ae03f56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Girard</dc:creator>
  <cp:keywords/>
  <dc:description/>
  <cp:lastModifiedBy>Adam Sipos</cp:lastModifiedBy>
  <cp:revision>4</cp:revision>
  <dcterms:created xsi:type="dcterms:W3CDTF">2023-05-24T18:44:00Z</dcterms:created>
  <dcterms:modified xsi:type="dcterms:W3CDTF">2023-05-25T12:07:00Z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06b5e38c-2f77-4fc8-9e95-5c188a57aa7e</vt:lpwstr>
  </property>
  <property fmtid="{D5CDD505-2E9C-101B-9397-08002B2CF9AE}" pid="3" name="ContentTypeId">
    <vt:lpwstr>0x010100A0BBB2BD626CE144B1B2B5049E36F737</vt:lpwstr>
  </property>
</Properties>
</file>